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机械设备制造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企业温室气体排放报告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ind w:firstLine="1405" w:firstLineChars="5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报告主体：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嘉兴金凌五金科技股份有限公司</w:t>
      </w:r>
    </w:p>
    <w:p>
      <w:pPr>
        <w:ind w:firstLine="1405" w:firstLineChars="5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报告年度：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年   </w:t>
      </w:r>
    </w:p>
    <w:p>
      <w:pPr>
        <w:ind w:firstLine="1405" w:firstLineChars="5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编制日期：20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根据国家发展和改革委员会发布的《工业其它行业企业温室气体排放核算方法与报告指南（试行）》，本报告主题核算了20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年度温室气体排放量，并填写了相关数据表格。现将有关情况报告如下：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企业基本情况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361"/>
        <w:gridCol w:w="1819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报告主体名称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嘉兴金凌五金科技股份有限公司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报告年度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紧固件制造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（C3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社会性用代码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913304247829497891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张小林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13906833830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浙江省嘉兴市海盐县泰山街道许油车村沈家埭32号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张逸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17826861357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报告主体边界说明</w:t>
            </w:r>
          </w:p>
          <w:p>
            <w:pPr>
              <w:spacing w:line="360" w:lineRule="auto"/>
              <w:ind w:firstLine="540" w:firstLineChars="225"/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嘉兴金凌五金科技股份有限公司坐落于中国紧固件制造基地--浙江海盐。公司专业生产各种螺母紧固件，注册资本2000万人民币，月生产能力 1000吨。厂房占地面积15000平方米。公司主要产品有六角重型螺母，普通六角螺母，尼龙螺母，法兰螺母，以及长螺母和方螺母等。公司产品涵盖了ISO标准，德国DIN标准，美国ANSI， ASTM ，IFI 标准，英国BS标准，日本JIS标准，澳大利亚AS标准，意大利UNI 和印度IS标准等。此外，可依据客户要求定制各种非标准的紧固件产品。产品主要应用于建筑结构，电气，电力，船舶，公路桥梁等领域。产品远销欧洲，美洲，澳洲，中东，东南亚，非洲等地。产品质量和信誉等到国内外客户一致好评。</w:t>
            </w:r>
          </w:p>
          <w:p>
            <w:pPr>
              <w:spacing w:line="360" w:lineRule="auto"/>
              <w:ind w:firstLine="540" w:firstLineChars="225"/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于2007年获得ISO9001：2000质量体系认证。公司拥有先进的生产设备，规范的生产程序和专业的生产员工，从原材料加工到生产过程中每一个环节都按照严格的工艺运作，并配有高素质质量检测人员和完善的检测设备，对生产加工的操作过程做出有效控制，确保生产的每件产品都是符合标准的，符合客户需求的好产品。</w:t>
            </w:r>
          </w:p>
          <w:p>
            <w:pPr>
              <w:spacing w:line="360" w:lineRule="auto"/>
              <w:ind w:firstLine="540" w:firstLineChars="225"/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嘉兴金凌五金科技股份有限公司始终以“质量求生存”的宗旨，按客户要求严格生产，同时做到交货及时，顾客至上的理念，给客户创造满意的购货环境。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企业20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年的产能情况说明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年企业生产的产品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为各式螺帽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紧固件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，经统计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2023年合计生产螺帽11543吨，工业总产值为8834.5万元，工业增加值1881.9万元。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85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企业的主要生产工艺流程说明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bottom"/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1）螺母生产工艺：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object>
                <v:shape id="_x0000_i1027" o:spt="75" type="#_x0000_t75" style="height:110.9pt;width:4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Visio.Drawing.11" ShapeID="_x0000_i1027" DrawAspect="Content" ObjectID="_1468075725" r:id="rId6">
                  <o:LockedField>false</o:LockedField>
                </o:OLEObject>
              </w:objec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360" w:lineRule="auto"/>
              <w:ind w:left="0" w:leftChars="0" w:right="0" w:rightChars="0" w:firstLine="0" w:firstLineChars="0"/>
              <w:jc w:val="left"/>
              <w:textAlignment w:val="bottom"/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2）热处理生产工艺：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object>
                <v:shape id="_x0000_i1026" o:spt="75" type="#_x0000_t75" style="height:101.7pt;width:414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Visio.Drawing.11" ShapeID="_x0000_i1026" DrawAspect="Content" ObjectID="_1468075726" r:id="rId8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温室气体排放情况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结合公司生产情况分析，公司碳排放源主要来自电力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和热力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消耗引起的CO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排放，生产过程中不产生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排放。结合企业20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电力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和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天然气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实际消耗量及其品质参数，计算如下：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电力：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年企业年使用电量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878.27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万kWh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，2023年光伏发电使用量144.01万kWh，产碳电力使用量为734.26万kWh，为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折合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7342.6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MWh，每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MWh电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量的CO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排放因子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0.5703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吨CO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，则电量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使用导致年排放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量为：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7342.6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MWh×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0.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5703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吨CO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/MWh=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4187.48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t。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天然气：2023年企业年消耗天然气量为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32.5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万m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，天然气低位发热量为389.31GJ/万Nm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，单位热值含碳量为15.30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×10-3tC/GJ，燃料碳氧化率为99%，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年消耗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天然气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产生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量为：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32.5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万m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389.31GJ/万Nm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15.30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×10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-3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tC/GJ×99%÷12×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4=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702.71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综上所述，企业20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年碳排放量总计为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4890.19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，企业20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年的产品产量为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11543吨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工业总产值8834.5万元，工业增加值为1881.9万元，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计算出企业的单位产品碳排放量为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0.42t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t，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产值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碳排放量为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0.554t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万元，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工业增加值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碳排放量为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2.599t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三、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活动水平数据及来源说明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嘉兴金凌五金科技股份有限公司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在20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年度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zh-CN"/>
        </w:rPr>
        <w:t>用电力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878.27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万kWh，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光伏发电使用量为144.01万kWh，天然气量32.5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万m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电力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和天然气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数据来源自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企业统计局报表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排放因子数据及来源说明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嘉兴金凌五金科技股份有限公司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在20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年每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MWh电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量的CO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排放因子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0.5703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吨CO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天然气低位发热量为389.31GJ/万Nm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，单位热值含碳量为15.30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×10-3tC/GJ，燃料碳氧化率为99%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其它希望说明的情况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本报告真实、可靠，如报告中的信息与实际情况不符，本企业将承担相应的法律责任。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嘉兴金凌五金科技股份有限公司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 w:eastAsia="zh-CN"/>
        </w:rPr>
        <w:t>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C0CC5"/>
    <w:multiLevelType w:val="singleLevel"/>
    <w:tmpl w:val="FFEC0C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JiNDc2MzkzMzU4MjE0MzNjNmYwZjE1ZTE2N2QifQ=="/>
  </w:docVars>
  <w:rsids>
    <w:rsidRoot w:val="7AE25B63"/>
    <w:rsid w:val="091D28E5"/>
    <w:rsid w:val="177A68D0"/>
    <w:rsid w:val="1B001556"/>
    <w:rsid w:val="209C480E"/>
    <w:rsid w:val="270206F4"/>
    <w:rsid w:val="286C25E2"/>
    <w:rsid w:val="2BB56BCD"/>
    <w:rsid w:val="328F570C"/>
    <w:rsid w:val="32A9705C"/>
    <w:rsid w:val="42C13892"/>
    <w:rsid w:val="498025CA"/>
    <w:rsid w:val="53023F72"/>
    <w:rsid w:val="59C86106"/>
    <w:rsid w:val="64F9047F"/>
    <w:rsid w:val="660D08EB"/>
    <w:rsid w:val="6E21070F"/>
    <w:rsid w:val="71A279FB"/>
    <w:rsid w:val="7AE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autoRedefine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cs="Times New Roman"/>
      <w:kern w:val="0"/>
      <w:sz w:val="24"/>
      <w:szCs w:val="20"/>
    </w:rPr>
  </w:style>
  <w:style w:type="paragraph" w:styleId="5">
    <w:name w:val="Body Text First Indent 2"/>
    <w:basedOn w:val="4"/>
    <w:autoRedefine/>
    <w:unhideWhenUsed/>
    <w:qFormat/>
    <w:uiPriority w:val="99"/>
    <w:pPr>
      <w:widowControl w:val="0"/>
      <w:spacing w:line="240" w:lineRule="auto"/>
      <w:ind w:left="420" w:leftChars="200" w:firstLine="420"/>
    </w:pPr>
    <w:rPr>
      <w:rFonts w:ascii="宋体" w:hAnsi="宋体" w:cs="宋体"/>
      <w:spacing w:val="-4"/>
      <w:kern w:val="2"/>
      <w:sz w:val="21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0">
    <w:name w:val="Table Normal"/>
    <w:autoRedefine/>
    <w:unhideWhenUsed/>
    <w:qFormat/>
    <w:uiPriority w:val="2"/>
    <w:pPr>
      <w:widowControl w:val="0"/>
    </w:pPr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1798</Characters>
  <Lines>0</Lines>
  <Paragraphs>0</Paragraphs>
  <TotalTime>6</TotalTime>
  <ScaleCrop>false</ScaleCrop>
  <LinksUpToDate>false</LinksUpToDate>
  <CharactersWithSpaces>1810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2019-03-28T03:09:00Z</dcterms:created>
  <dc:creator>#淡＇逝@云.边</dc:creator>
  <cp:lastModifiedBy>轻♀雨</cp:lastModifiedBy>
  <dcterms:modified xsi:type="dcterms:W3CDTF">2024-03-29T07:38:31Z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5CDD8537582544A8BA55BC349BF4CB90_13</vt:lpwstr>
  </property>
</Properties>
</file>